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55" w:rsidRDefault="004F7555" w:rsidP="004F7555">
      <w:pPr>
        <w:shd w:val="clear" w:color="auto" w:fill="FFFFFF" w:themeFill="background1"/>
        <w:rPr>
          <w:rFonts w:ascii="Calibri" w:hAnsi="Calibri"/>
          <w:color w:val="1F497D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F7555" w:rsidTr="004F7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2B4305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2B4305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GASTOS DE SEPELIO</w:t>
            </w:r>
          </w:p>
        </w:tc>
      </w:tr>
      <w:tr w:rsidR="004F7555" w:rsidTr="004F7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EA5141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B430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Relación de Documentos que </w:t>
            </w:r>
            <w:r w:rsidR="00EA5141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d</w:t>
            </w:r>
            <w:r w:rsidRPr="002B430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eben </w:t>
            </w:r>
            <w:r w:rsidR="00EA5141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p</w:t>
            </w:r>
            <w:bookmarkStart w:id="0" w:name="_GoBack"/>
            <w:bookmarkEnd w:id="0"/>
            <w:r w:rsidRPr="002B4305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resentarse</w:t>
            </w:r>
          </w:p>
        </w:tc>
      </w:tr>
    </w:tbl>
    <w:p w:rsidR="004F755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GENERALES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8415" w:type="dxa"/>
            <w:shd w:val="clear" w:color="auto" w:fill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A749B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Copia legalizada de Certificado Médico de Defunción. En caso de no disponer del documento completo podrá presentar el desglosable del Certificado de Defunción emitido por RENIEC.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Copia certificada de Acta o Partida de Defunción. (otorgado por la municipalidad donde ocurrió el fallecimiento o por RENIEC)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Originales de las facturas y/o boletas de venta, que acrediten detalladamente los gastos de sepelio, en los que consten los nombres del afiliado fallecido y de la persona que realiza el gasto. Si algún sustento de gasto (boleta o factura), está relacionada a un contrato previo, debe adjuntar copia de este contrato, los documentos se vinculan por el número de contrato.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36"/>
        <w:gridCol w:w="36"/>
        <w:gridCol w:w="51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F7555" w:rsidRPr="002B4305" w:rsidRDefault="002B430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CASO DE ACCIDENTE COMÚ</w:t>
            </w:r>
            <w:r w:rsidR="004F7555"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N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8430" w:type="dxa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Copia simple del Atestado Policial o informe del Ministerio Público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  <w:shd w:val="clear" w:color="auto" w:fill="FFFFFF" w:themeFill="background1"/>
              </w:rPr>
              <w:t>( ) Copia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 legalizada notarialmente del Certificado de Necropsia/Autopsia o Declaración Judicial de Muerte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CASO DE REEMBOLSO A PERSONAS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8430" w:type="dxa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  <w:shd w:val="clear" w:color="auto" w:fill="FFFFFF" w:themeFill="background1"/>
              </w:rPr>
              <w:t>( ) Copia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 simple del documento de identidad de la persona que realizó el gasto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CASO DE REEMBOLSO A LA EMPRESA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8430" w:type="dxa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Carta poder que autorice a alguna persona a recoger el cheque respectivo y a suscribir los documentos necesarios, firmada por el Representante Legal de la Empresa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( ) Copia legalizada del Documento de Identidad del Representante Legal de la empresa que otorga el poder</w:t>
            </w: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8"/>
        <w:gridCol w:w="30"/>
        <w:gridCol w:w="1182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DOCUMENTOS ADICIONALES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</w:rPr>
              <w:t>PODER PARA GASTOS DE SEPELIO:</w:t>
            </w:r>
          </w:p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</w:rPr>
              <w:t>A).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 </w:t>
            </w: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  <w:u w:val="single"/>
              </w:rPr>
              <w:t>Tipo de Poder</w:t>
            </w:r>
          </w:p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El </w:t>
            </w: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</w:rPr>
              <w:t>Poder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 será de acuerdo al monto a reembolsar del </w:t>
            </w: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</w:rPr>
              <w:t>GASTO DE SEPELIO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: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Hasta media (1/2) UIT poder por carta con firma legalizada.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Más de media (1/2) UIT y hasta tres (3) UIT poder fuera de registro. </w:t>
            </w:r>
          </w:p>
          <w:p w:rsidR="004F7555" w:rsidRPr="002B4305" w:rsidRDefault="004F7555" w:rsidP="004F7555">
            <w:pPr>
              <w:pStyle w:val="Prrafodelista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Más de tres (3) UIT poder por escritura pública.</w:t>
            </w:r>
          </w:p>
          <w:p w:rsidR="002B4305" w:rsidRDefault="004F7555" w:rsidP="004F7555">
            <w:p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Times New Roman" w:hAnsi="Times New Roman"/>
                <w:b/>
                <w:bCs/>
                <w:color w:val="404040" w:themeColor="text1" w:themeTint="BF"/>
                <w:sz w:val="15"/>
                <w:szCs w:val="15"/>
              </w:rPr>
              <w:t>IMPORTANTE:</w:t>
            </w:r>
            <w:r w:rsidRPr="002B4305">
              <w:rPr>
                <w:rFonts w:ascii="Times New Roman" w:hAnsi="Times New Roman"/>
                <w:color w:val="404040" w:themeColor="text1" w:themeTint="BF"/>
                <w:sz w:val="15"/>
                <w:szCs w:val="15"/>
              </w:rPr>
              <w:t xml:space="preserve"> En los casos de pensión, el poder siempre debe ser bajo escritura pública, es decir, inscrito en Registros Públicos.</w:t>
            </w:r>
          </w:p>
          <w:p w:rsidR="002B4305" w:rsidRPr="002B4305" w:rsidRDefault="002B4305" w:rsidP="004F7555">
            <w:p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  <w:sz w:val="15"/>
                <w:szCs w:val="15"/>
              </w:rPr>
            </w:pPr>
          </w:p>
          <w:p w:rsidR="004F7555" w:rsidRPr="002B4305" w:rsidRDefault="004F7555" w:rsidP="004F7555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</w:rPr>
              <w:t xml:space="preserve">B). </w:t>
            </w: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5"/>
                <w:szCs w:val="15"/>
                <w:u w:val="single"/>
              </w:rPr>
              <w:t>Presentación de Documentos</w:t>
            </w:r>
          </w:p>
          <w:p w:rsidR="002B4305" w:rsidRDefault="004F7555" w:rsidP="002B4305">
            <w:pPr>
              <w:shd w:val="clear" w:color="auto" w:fill="FFFFFF" w:themeFill="background1"/>
              <w:spacing w:before="100" w:beforeAutospacing="1" w:after="100" w:afterAutospacing="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De acuerdo al tipo de Poder, presentar los siguientes documentos: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Copia legalizada del Poder según corresponda.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Copia legalizada del documento de identidad del apoderado (no más de 6 meses de antigüedad)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En caso de Poder por Escritura Pública, Ficha de Inscripción, Copia literal (A001) y Original de la </w:t>
            </w: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lastRenderedPageBreak/>
              <w:t>vigencia de Poder otorgado por SUNARP (vigencia 30 días)</w:t>
            </w:r>
          </w:p>
          <w:p w:rsidR="004F7555" w:rsidRPr="002B4305" w:rsidRDefault="004F7555" w:rsidP="002B4305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Sustento: Certificado Médico, Movimiento Migratorio (vigencia 30 días) o Certificado Domiciliario.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</w:pPr>
            <w:r w:rsidRPr="002B4305">
              <w:rPr>
                <w:rFonts w:ascii="Verdana" w:hAnsi="Verdana"/>
                <w:b/>
                <w:bCs/>
                <w:color w:val="404040" w:themeColor="text1" w:themeTint="BF"/>
                <w:sz w:val="18"/>
                <w:szCs w:val="18"/>
              </w:rPr>
              <w:t>IMPORTANTE</w:t>
            </w: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4A759C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FF7FF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Los datos consignados en los documentos </w:t>
            </w:r>
            <w:proofErr w:type="spellStart"/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sustentatorios</w:t>
            </w:r>
            <w:proofErr w:type="spellEnd"/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 xml:space="preserve"> deben coincidir exactamente entre sí; verificar nombres completos y fechas. De ser necesario solicite la Fe de Erratas en la entidad que emitió el documento, de lo contrario el trámite NO procederá.</w:t>
            </w:r>
          </w:p>
          <w:p w:rsidR="004F7555" w:rsidRPr="002B4305" w:rsidRDefault="004F7555" w:rsidP="004F755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404040" w:themeColor="text1" w:themeTint="BF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La vigencia no debe ser mayor a 6 meses en los documentos legalizados.</w:t>
            </w:r>
          </w:p>
          <w:p w:rsidR="004F7555" w:rsidRPr="002B4305" w:rsidRDefault="004F7555" w:rsidP="004F755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Los documentos emitidos en el exterior deben ser visados por el Cónsul peruano en el país de residencia y refrendado por el Ministerio de Relaciones Exteriores en el Perú. En caso los documentos hubieran sido expedidos en idioma extranjero realizar la traducción de los mismos al español, Y refrendar dicha traducción por el Ministerio de Relaciones Exteriores.</w:t>
            </w: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7555" w:rsidRPr="002B4305" w:rsidRDefault="004F7555" w:rsidP="004F7555">
            <w:pPr>
              <w:shd w:val="clear" w:color="auto" w:fill="FFFFFF" w:themeFill="background1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4F7555" w:rsidRPr="002B4305" w:rsidRDefault="004F7555" w:rsidP="004F7555">
      <w:pPr>
        <w:shd w:val="clear" w:color="auto" w:fill="FFFFFF" w:themeFill="background1"/>
        <w:jc w:val="center"/>
        <w:rPr>
          <w:rFonts w:ascii="Times New Roman" w:hAnsi="Times New Roman"/>
          <w:vanish/>
          <w:color w:val="404040" w:themeColor="text1" w:themeTint="BF"/>
        </w:rPr>
      </w:pP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B4305" w:rsidRPr="002B4305" w:rsidTr="004F7555">
        <w:trPr>
          <w:tblCellSpacing w:w="15" w:type="dxa"/>
          <w:jc w:val="center"/>
        </w:trPr>
        <w:tc>
          <w:tcPr>
            <w:tcW w:w="0" w:type="auto"/>
            <w:shd w:val="clear" w:color="auto" w:fill="EFF7FF"/>
            <w:vAlign w:val="center"/>
            <w:hideMark/>
          </w:tcPr>
          <w:p w:rsidR="002B4305" w:rsidRDefault="002B430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</w:p>
          <w:p w:rsidR="004F7555" w:rsidRPr="002B4305" w:rsidRDefault="004F7555" w:rsidP="004F7555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15"/>
                <w:szCs w:val="15"/>
              </w:rPr>
            </w:pPr>
            <w:r w:rsidRPr="002B4305">
              <w:rPr>
                <w:rFonts w:ascii="Verdana" w:hAnsi="Verdana"/>
                <w:color w:val="404040" w:themeColor="text1" w:themeTint="BF"/>
                <w:sz w:val="15"/>
                <w:szCs w:val="15"/>
              </w:rPr>
              <w:t>Visítenos en nuestras agencias a nivel nacional, una vez cuente con todos los documentos solicitados para iniciar el trámite.</w:t>
            </w:r>
          </w:p>
        </w:tc>
      </w:tr>
    </w:tbl>
    <w:p w:rsidR="004F7555" w:rsidRPr="002B4305" w:rsidRDefault="004F7555" w:rsidP="004F7555">
      <w:pPr>
        <w:shd w:val="clear" w:color="auto" w:fill="FFFFFF" w:themeFill="background1"/>
        <w:rPr>
          <w:color w:val="404040" w:themeColor="text1" w:themeTint="BF"/>
        </w:rPr>
      </w:pPr>
    </w:p>
    <w:p w:rsidR="004F7555" w:rsidRPr="002B4305" w:rsidRDefault="004F7555" w:rsidP="004F7555">
      <w:pPr>
        <w:shd w:val="clear" w:color="auto" w:fill="FFFFFF" w:themeFill="background1"/>
        <w:rPr>
          <w:color w:val="404040" w:themeColor="text1" w:themeTint="BF"/>
        </w:rPr>
      </w:pPr>
    </w:p>
    <w:p w:rsidR="004F7555" w:rsidRDefault="004F7555" w:rsidP="004F7555">
      <w:pPr>
        <w:shd w:val="clear" w:color="auto" w:fill="FFFFFF" w:themeFill="background1"/>
      </w:pPr>
    </w:p>
    <w:sectPr w:rsidR="004F7555" w:rsidSect="002B430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8EB"/>
    <w:multiLevelType w:val="hybridMultilevel"/>
    <w:tmpl w:val="7AC2D482"/>
    <w:lvl w:ilvl="0" w:tplc="1F3A6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70DA"/>
    <w:multiLevelType w:val="hybridMultilevel"/>
    <w:tmpl w:val="278C8382"/>
    <w:lvl w:ilvl="0" w:tplc="1F3A60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0A3B"/>
    <w:multiLevelType w:val="hybridMultilevel"/>
    <w:tmpl w:val="A2122C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40A5"/>
    <w:multiLevelType w:val="hybridMultilevel"/>
    <w:tmpl w:val="738A04DE"/>
    <w:lvl w:ilvl="0" w:tplc="7E666F5A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4444D"/>
    <w:multiLevelType w:val="hybridMultilevel"/>
    <w:tmpl w:val="E83CEE7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507804"/>
    <w:multiLevelType w:val="hybridMultilevel"/>
    <w:tmpl w:val="060A23E4"/>
    <w:lvl w:ilvl="0" w:tplc="7E666F5A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1275"/>
    <w:multiLevelType w:val="hybridMultilevel"/>
    <w:tmpl w:val="97867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3"/>
    <w:rsid w:val="000271A3"/>
    <w:rsid w:val="00074E90"/>
    <w:rsid w:val="002B4305"/>
    <w:rsid w:val="004F7555"/>
    <w:rsid w:val="00EA5141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31">
    <w:name w:val="estilo31"/>
    <w:basedOn w:val="Fuentedeprrafopredeter"/>
    <w:rsid w:val="000271A3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2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31">
    <w:name w:val="estilo31"/>
    <w:basedOn w:val="Fuentedeprrafopredeter"/>
    <w:rsid w:val="000271A3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02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Esmilda Valencia Prado</dc:creator>
  <cp:lastModifiedBy>Daniel Mendoza Caballero</cp:lastModifiedBy>
  <cp:revision>3</cp:revision>
  <dcterms:created xsi:type="dcterms:W3CDTF">2016-10-05T17:59:00Z</dcterms:created>
  <dcterms:modified xsi:type="dcterms:W3CDTF">2016-10-05T18:01:00Z</dcterms:modified>
</cp:coreProperties>
</file>